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560" w:lineRule="exact"/>
        <w:jc w:val="distribute"/>
        <w:rPr>
          <w:rFonts w:hint="eastAsia" w:ascii="方正小标宋简体" w:hAnsi="Times New Roman" w:eastAsia="方正小标宋简体" w:cs="方正小标宋_GBK"/>
          <w:kern w:val="2"/>
          <w:sz w:val="44"/>
          <w:szCs w:val="44"/>
        </w:rPr>
      </w:pPr>
      <w:r>
        <w:rPr>
          <w:rFonts w:ascii="Times New Roman" w:eastAsia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955040</wp:posOffset>
                </wp:positionV>
                <wp:extent cx="57721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75.2pt;height:0.75pt;width:454.5pt;z-index:251659264;mso-width-relative:page;mso-height-relative:page;" filled="f" stroked="t" coordsize="21600,21600" o:gfxdata="UEsDBAoAAAAAAIdO4kAAAAAAAAAAAAAAAAAEAAAAZHJzL1BLAwQUAAAACACHTuJAQKgoOtkAAAAK&#10;AQAADwAAAGRycy9kb3ducmV2LnhtbE2PMU/DMBCFdyT+g3VIbK0dBKEJcTpEQmVAqhoYYHPjI4mI&#10;z1HsNuHfc51gu3vv6d13xXZxgzjjFHpPGpK1AoHUeNtTq+H97Xm1ARGiIWsGT6jhBwNsy+urwuTW&#10;z3TAcx1bwSUUcqOhi3HMpQxNh86EtR+R2PvykzOR16mVdjIzl7tB3imVSmd64gudGbHqsPmuT07D&#10;x363H1+rKvUvn7t5adOkPjwOWt/eJOoJRMQl/oXhgs/oUDLT0Z/IBjFoWGUpJ1l/UPcgOLDJMh6O&#10;FyXJQJaF/P9C+QtQSwMEFAAAAAgAh07iQChpvCL4AQAA6AMAAA4AAABkcnMvZTJvRG9jLnhtbK1T&#10;TY7TMBTeI3EHy3uaNFIZJmo6iyllg6AScIBX20ks+U+227SX4AJI7GDFkj23YeYYPDuhA8OmC7Jw&#10;nv0+f37f5+flzVErchA+SGsaOp+VlAjDLJema+iH95tnLygJEQwHZY1o6EkEerN6+mQ5uFpUtreK&#10;C0+QxIR6cA3tY3R1UQTWCw1hZp0wmGyt1xBx6ruCexiQXauiKsvnxWA9d94yEQKurscknRj9JYS2&#10;bSUTa8v2Wpg4snqhIKKk0EsX6CpX27aCxbdtG0QkqqGoNOYRD8F4l8ZitYS68+B6yaYS4JISHmnS&#10;IA0eeqZaQwSy9/IfKi2Zt8G2ccasLkYh2RFUMS8fefOuByeyFrQ6uLPp4f/RsjeHrSeSN7SixIDG&#10;C7/79P3nxy/3Pz7jePftK6mSSYMLNWJvzdZPs+C2Pik+tl6nP2ohx2zs6WysOEbCcHFxdVXNF+g5&#10;w9z1olokyuJhr/MhvhJWkxQ0VEmTZEMNh9chjtDfkLSsDBmwda/LTAnYhC1ePrJrh0KC6fLmYJXk&#10;G6lU2hJ8t7tVnhwAG2GzKfGbavgLlk5ZQ+hHXE4lGNS9AP7ScBJPDi0y+DJoqkELTokS+JBSlJER&#10;pLoEifKVQReSs6OXKdpZfsIL2Tsvux6tmOcqUwYbIHs2NWvqsD/nmenhg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CoKDrZAAAACgEAAA8AAAAAAAAAAQAgAAAAIgAAAGRycy9kb3ducmV2Lnht&#10;bFBLAQIUABQAAAAIAIdO4kAoabwi+AEAAOgDAAAOAAAAAAAAAAEAIAAAACg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粗宋简体"/>
          <w:color w:val="FF0000"/>
          <w:spacing w:val="-24"/>
          <w:w w:val="60"/>
          <w:sz w:val="96"/>
          <w:szCs w:val="96"/>
          <w:lang w:eastAsia="zh-CN"/>
        </w:rPr>
        <w:t>共青团北京市西城区委员会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“党旗所指 团旗所向——西城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跟党奋进的100年”纪念建团100周年展览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项目询价公告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共青团北京市西城区委员会就“党旗所指 团旗所向——西城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跟党奋进的100年”纪念建团100周年展览项目以公开询价方式进行采购，欢迎国内符合条件的公司参与本项目报价。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楷体_GB2312" w:hAnsi="楷体_GB2312" w:eastAsia="楷体_GB2312" w:cs="楷体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1.项目名称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“党旗所指 团旗所向——西城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跟党奋进的100年”纪念建团100周年展览项目采购。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楷体_GB2312" w:hAnsi="楷体_GB2312" w:eastAsia="楷体_GB2312" w:cs="楷体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2.项目基本情况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2022年是党的二十大召开之年,也是中国共青团成立100周年。为更好团结引领广大青少年坚定跟党走、建功新时代，共青团北京市西城区委员会拟联合中共北京市西城区委宣传部、陶然亭公园策划开展“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党旗所指 团旗所向——西城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跟党奋进的100年</w:t>
      </w:r>
      <w:r>
        <w:rPr>
          <w:rFonts w:hint="eastAsia" w:ascii="仿宋_GB2312" w:hAnsi="仿宋_GB2312" w:eastAsia="仿宋_GB2312" w:cs="仿宋_GB2312"/>
          <w:sz w:val="32"/>
          <w:szCs w:val="32"/>
        </w:rPr>
        <w:t>”纪念建团100周年展览。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楷体_GB2312" w:hAnsi="楷体_GB2312" w:eastAsia="楷体_GB2312" w:cs="楷体_GB2312"/>
          <w:spacing w:val="1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w w:val="100"/>
          <w:sz w:val="32"/>
          <w:szCs w:val="32"/>
        </w:rPr>
        <w:t>3.项目内容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（1）按照团区委要求设计展览执行方案；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主会场展板搭建制作、电子屏、多媒体互动装置、音响、等展览主体的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布置和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设备租赁；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现场拆除、恢复及垃圾清运；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展览区域地毯铺设；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开幕式主视觉及展板画面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制作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，电子屏展览动画的制作，启动仪式视频制作及相关连线技术支持；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主会场外相关展板及水牌制作；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线上展览制作；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（8）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在团区委的指导下负责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展览相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关折页制作；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）本项目提报方案由投标单位根据基础材料自拟。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w w:val="100"/>
          <w:sz w:val="32"/>
          <w:szCs w:val="32"/>
        </w:rPr>
        <w:t>项目具体方案详见附件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1.须具有中华人民共和国境内注册的独立法人资格；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3.供应商应当具备下列条件：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（3）具有履行合同所必需的专业技术能力；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4.须了解行业相关设备特点；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5.符合法律、法规规定的其它要求。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楷体_GB2312" w:hAnsi="楷体_GB2312" w:eastAsia="楷体_GB2312" w:cs="楷体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1.递交截止时间（询价结束时间）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2022年4月1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日17:30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2.递交地点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FF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北京市西城区南菜园街51号2号楼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406室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楷体_GB2312" w:hAnsi="楷体_GB2312" w:eastAsia="楷体_GB2312" w:cs="楷体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3.申报企业需提交的材料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（1）项目报价及预算明细（总价不超过90万）；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（2）法人身份证或法人授权书、授权人身份证（复印件加盖公章）；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（3）营业执照副本（复印件加盖公章）；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（4）公司简介（含联系人及联系方式）；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（5）项目设计方案初稿。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上述材料需胶装成册，并加盖公章。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楷体_GB2312" w:hAnsi="楷体_GB2312" w:eastAsia="楷体_GB2312" w:cs="楷体_GB2312"/>
          <w:spacing w:val="1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4.不予接受情况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未按时送达或未送到指定地点的或密封不符合要求的报价文件，采购人不予接受。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名    称：共青团北京市西城区委员会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地    点：北京市西城区南菜园街51号2号楼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eastAsia="zh-CN"/>
        </w:rPr>
        <w:t>杨超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83975467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FF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共青团北京市西城区委员会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8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2022年4月7日  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4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“党旗所指 团旗所向——西城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跟党奋进的100年”纪念建团100周年展览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工作方案</w:t>
      </w:r>
    </w:p>
    <w:p>
      <w:pPr>
        <w:pStyle w:val="4"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2022年是党的二十大召开之年,也是中国共青团成立100周年。为更好团结引领广大青少年坚定跟党走、建功新时代，共青团北京市西城区委员会拟联合中共北京市西城区委宣传部、陶然亭公园策划开展“党旗所指 团旗所向——西城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跟党奋进的100年”纪念建团100周年展览。具体方案内容如下。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一、展览时间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布展时间：2022年4月15日—4月24日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展陈时间：2022年4月27日—5月22日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二、展览地点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陶然亭公园内西北处（中餐厅）展厅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展览面积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室内：400平方米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室外：50平方米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、展览内容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建立3D模型，设计规划现场布局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以展板、电子屏展览为主，辅以部分实物，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设置有互动感、科技感的互动元素（每一展区需至少一处互动元素），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集中展示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新民主主义革命时期、社会主义革命和建设时期、改革开放和社会主义现代化建设新时期、中国特色社会主义新时代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四个历史时期共青团和广大团员青年跟党奋进的光辉历程。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室外通过沿途展板、水牌设置宣传引导前往各展区参观。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3.启动仪式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制作预计30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启动仪式视频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策划启动仪式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触发方式；通大屏及现场连线技术支持实现与分会场互动。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（一）筹备阶段（2022年4月15日前）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团区委与区委宣传部、陶然亭公园沟通对接，确定展览时间、场地及相关展陈设计等内容，共同制定主题展览工作方案。由团区委发布公开询价公告，对报价公司进行综合比价，确定执行本项目的中标公司。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（二）布展阶段（2022年4月15日—4月24日）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由团区委指导中标公司按照主题展览工作方案和纪念建团100周年相关历史文献、实物资料和展厅情况进行布展，确保4月24日前完成布展工作。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（三）展陈阶段（2022年4月27日—5月22日）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由团区委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展览启动仪式及展陈期间展厅的维护保障、现场安全保障及疫情防控等工作。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（四）收尾阶段（2022年5月22日—5月25日）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展览结束3天内，由中标公司负责撤出全部展览内容、恢复展厅原貌。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1A50"/>
    <w:rsid w:val="04801EF6"/>
    <w:rsid w:val="09684F47"/>
    <w:rsid w:val="24707FFC"/>
    <w:rsid w:val="2F0A6C4F"/>
    <w:rsid w:val="30931A50"/>
    <w:rsid w:val="31B33A4A"/>
    <w:rsid w:val="3E443068"/>
    <w:rsid w:val="45DC5A32"/>
    <w:rsid w:val="4A5E3D9D"/>
    <w:rsid w:val="4E7037A7"/>
    <w:rsid w:val="726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645"/>
    </w:pPr>
    <w:rPr>
      <w:rFonts w:ascii="楷体_GB2312" w:eastAsia="楷体_GB2312"/>
      <w:sz w:val="36"/>
      <w:szCs w:val="20"/>
    </w:rPr>
  </w:style>
  <w:style w:type="paragraph" w:styleId="4">
    <w:name w:val="Plain Text"/>
    <w:basedOn w:val="1"/>
    <w:next w:val="1"/>
    <w:semiHidden/>
    <w:unhideWhenUsed/>
    <w:qFormat/>
    <w:uiPriority w:val="99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2022-04-07T03:27:00Z</dcterms:created>
  <dc:creator>杨超</dc:creator>
  <cp:lastModifiedBy>杨超</cp:lastModifiedBy>
  <dcterms:modified xsi:type="dcterms:W3CDTF">2022-04-07T08:02:57Z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50B4F0FF67C04FF1AE139A96FA171A16</vt:lpwstr>
  </property>
</Properties>
</file>